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color w:val="000000"/>
          <w:sz w:val="36"/>
          <w:szCs w:val="36"/>
        </w:rPr>
      </w:pPr>
      <w:r w:rsidDel="00000000" w:rsidR="00000000" w:rsidRPr="00000000">
        <w:rPr>
          <w:b w:val="1"/>
          <w:bCs w:val="1"/>
          <w:sz w:val="36"/>
          <w:szCs w:val="36"/>
        </w:rPr>
        <w:drawing>
          <wp:inline distB="0" distT="0" distL="0" distR="0">
            <wp:extent cx="1082595" cy="732269"/>
            <wp:effectExtent b="0" l="0" r="0" t="0"/>
            <wp:docPr descr="Resim 3" id="2" name="image2.png"/>
            <a:graphic>
              <a:graphicData uri="http://schemas.openxmlformats.org/drawingml/2006/picture">
                <pic:pic>
                  <pic:nvPicPr>
                    <pic:cNvPr descr="Resim 3" id="0" name="image2.png"/>
                    <pic:cNvPicPr preferRelativeResize="0"/>
                  </pic:nvPicPr>
                  <pic:blipFill>
                    <a:blip r:embed="rId6"/>
                    <a:srcRect b="18358" l="0" r="0" t="17855"/>
                    <a:stretch>
                      <a:fillRect/>
                    </a:stretch>
                  </pic:blipFill>
                  <pic:spPr>
                    <a:xfrm>
                      <a:off x="0" y="0"/>
                      <a:ext cx="1082595" cy="732269"/>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b w:val="1"/>
          <w:bCs w:val="1"/>
          <w:color w:val="000000"/>
          <w:sz w:val="36"/>
          <w:szCs w:val="36"/>
        </w:rPr>
      </w:pPr>
      <w:r w:rsidDel="00000000" w:rsidR="00000000" w:rsidRPr="00000000">
        <w:rPr>
          <w:rtl w:val="0"/>
        </w:rPr>
      </w:r>
    </w:p>
    <w:p w:rsidR="00000000" w:rsidDel="00000000" w:rsidP="00000000" w:rsidRDefault="00000000" w:rsidRPr="00000000" w14:paraId="00000003">
      <w:pPr>
        <w:rPr>
          <w:b w:val="1"/>
          <w:bCs w:val="1"/>
          <w:color w:val="000000"/>
        </w:rPr>
      </w:pPr>
      <w:r w:rsidDel="00000000" w:rsidR="00000000" w:rsidRPr="00000000">
        <w:rPr>
          <w:b w:val="1"/>
          <w:bCs w:val="1"/>
          <w:color w:val="000000"/>
          <w:rtl w:val="0"/>
        </w:rPr>
        <w:t xml:space="preserve">Basın Bülteni</w:t>
        <w:tab/>
        <w:tab/>
        <w:t xml:space="preserve">                                                                                             </w:t>
        <w:tab/>
        <w:t xml:space="preserve">24.05.2026</w:t>
      </w:r>
    </w:p>
    <w:p w:rsidR="00000000" w:rsidDel="00000000" w:rsidP="00000000" w:rsidRDefault="00000000" w:rsidRPr="00000000" w14:paraId="00000004">
      <w:pPr>
        <w:rPr>
          <w:b w:val="1"/>
          <w:bCs w:val="1"/>
          <w:color w:val="000000"/>
        </w:rPr>
      </w:pPr>
      <w:r w:rsidDel="00000000" w:rsidR="00000000" w:rsidRPr="00000000">
        <w:rPr>
          <w:color w:val="000000"/>
          <w:rtl w:val="0"/>
        </w:rPr>
        <w:tab/>
        <w:tab/>
        <w:tab/>
        <w:tab/>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264000" cy="0"/>
                <wp:effectExtent b="76200" l="25400" r="35560" t="25400"/>
                <wp:wrapNone/>
                <wp:docPr id="1" name=""/>
                <a:graphic>
                  <a:graphicData uri="http://schemas.microsoft.com/office/word/2010/wordprocessingShape">
                    <wps:wsp>
                      <wps:cNvCnPr/>
                      <wps:spPr>
                        <a:xfrm>
                          <a:off x="0" y="0"/>
                          <a:ext cx="6264000"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drawing>
              <wp:anchor allowOverlap="1" behindDoc="0" distB="0" distT="0" distL="114300" distR="114300" hidden="0" layoutInCell="1" locked="0" relativeHeight="0" simplePos="0">
                <wp:simplePos x="0" y="0"/>
                <wp:positionH relativeFrom="column">
                  <wp:posOffset>-271141</wp:posOffset>
                </wp:positionH>
                <wp:positionV relativeFrom="paragraph">
                  <wp:posOffset>168275</wp:posOffset>
                </wp:positionV>
                <wp:extent cx="6324960" cy="10160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324960" cy="101600"/>
                        </a:xfrm>
                        <a:prstGeom prst="rect"/>
                        <a:ln/>
                      </pic:spPr>
                    </pic:pic>
                  </a:graphicData>
                </a:graphic>
              </wp:anchor>
            </w:drawing>
          </mc:Fallback>
        </mc:AlternateContent>
      </w:r>
    </w:p>
    <w:p w:rsidR="00000000" w:rsidDel="00000000" w:rsidP="00000000" w:rsidRDefault="00000000" w:rsidRPr="00000000" w14:paraId="00000005">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ab/>
        <w:tab/>
        <w:tab/>
        <w:tab/>
        <w:tab/>
        <w:tab/>
        <w:tab/>
        <w:t xml:space="preserve">     </w:t>
      </w:r>
    </w:p>
    <w:p w:rsidR="00000000" w:rsidDel="00000000" w:rsidP="00000000" w:rsidRDefault="00000000" w:rsidRPr="00000000" w14:paraId="00000006">
      <w:pPr>
        <w:jc w:val="center"/>
        <w:rPr>
          <w:rFonts w:ascii="Calibri" w:cs="Calibri" w:eastAsia="Calibri" w:hAnsi="Calibri"/>
          <w:b w:val="1"/>
          <w:bCs w:val="1"/>
          <w:color w:val="000000"/>
          <w:sz w:val="36"/>
          <w:szCs w:val="36"/>
        </w:rPr>
      </w:pPr>
      <w:r w:rsidDel="00000000" w:rsidR="00000000" w:rsidRPr="00000000">
        <w:rPr>
          <w:rFonts w:ascii="Calibri" w:cs="Calibri" w:eastAsia="Calibri" w:hAnsi="Calibri"/>
          <w:b w:val="1"/>
          <w:bCs w:val="1"/>
          <w:color w:val="000000"/>
          <w:sz w:val="36"/>
          <w:szCs w:val="36"/>
          <w:rtl w:val="0"/>
        </w:rPr>
        <w:t xml:space="preserve"> </w:t>
      </w:r>
    </w:p>
    <w:p w:rsidR="00000000" w:rsidDel="00000000" w:rsidP="00000000" w:rsidRDefault="00000000" w:rsidRPr="00000000" w14:paraId="00000007">
      <w:pPr>
        <w:jc w:val="center"/>
        <w:rPr>
          <w:rFonts w:ascii="Calibri" w:cs="Calibri" w:eastAsia="Calibri" w:hAnsi="Calibri"/>
          <w:b w:val="1"/>
          <w:bCs w:val="1"/>
          <w:color w:val="000000"/>
          <w:sz w:val="36"/>
          <w:szCs w:val="36"/>
        </w:rPr>
      </w:pPr>
      <w:r w:rsidDel="00000000" w:rsidR="00000000" w:rsidRPr="00000000">
        <w:rPr>
          <w:rFonts w:ascii="Calibri" w:cs="Calibri" w:eastAsia="Calibri" w:hAnsi="Calibri"/>
          <w:b w:val="1"/>
          <w:bCs w:val="1"/>
          <w:color w:val="000000"/>
          <w:sz w:val="36"/>
          <w:szCs w:val="36"/>
          <w:rtl w:val="0"/>
        </w:rPr>
        <w:t xml:space="preserve">TRT’ye New York Festivals ve </w:t>
      </w:r>
    </w:p>
    <w:p w:rsidR="00000000" w:rsidDel="00000000" w:rsidP="00000000" w:rsidRDefault="00000000" w:rsidRPr="00000000" w14:paraId="00000008">
      <w:pPr>
        <w:jc w:val="center"/>
        <w:rPr>
          <w:rFonts w:ascii="Calibri" w:cs="Calibri" w:eastAsia="Calibri" w:hAnsi="Calibri"/>
          <w:b w:val="1"/>
          <w:bCs w:val="1"/>
          <w:color w:val="000000"/>
          <w:sz w:val="36"/>
          <w:szCs w:val="36"/>
        </w:rPr>
      </w:pPr>
      <w:bookmarkStart w:colFirst="0" w:colLast="0" w:name="_dlhl2cwuk2bq" w:id="0"/>
      <w:bookmarkEnd w:id="0"/>
      <w:r w:rsidDel="00000000" w:rsidR="00000000" w:rsidRPr="00000000">
        <w:rPr>
          <w:rFonts w:ascii="Calibri" w:cs="Calibri" w:eastAsia="Calibri" w:hAnsi="Calibri"/>
          <w:b w:val="1"/>
          <w:bCs w:val="1"/>
          <w:color w:val="000000"/>
          <w:sz w:val="36"/>
          <w:szCs w:val="36"/>
          <w:rtl w:val="0"/>
        </w:rPr>
        <w:t xml:space="preserve">Telly Awards’tan 17 Ödül</w:t>
      </w:r>
    </w:p>
    <w:p w:rsidR="00000000" w:rsidDel="00000000" w:rsidP="00000000" w:rsidRDefault="00000000" w:rsidRPr="00000000" w14:paraId="00000009">
      <w:pPr>
        <w:jc w:val="center"/>
        <w:rPr>
          <w:rFonts w:ascii="Calibri" w:cs="Calibri" w:eastAsia="Calibri" w:hAnsi="Calibri"/>
          <w:b w:val="1"/>
          <w:bCs w:val="1"/>
          <w:color w:val="000000"/>
          <w:sz w:val="36"/>
          <w:szCs w:val="36"/>
        </w:rPr>
      </w:pPr>
      <w:r w:rsidDel="00000000" w:rsidR="00000000" w:rsidRPr="00000000">
        <w:rPr>
          <w:rtl w:val="0"/>
        </w:rPr>
      </w:r>
    </w:p>
    <w:p w:rsidR="00000000" w:rsidDel="00000000" w:rsidP="00000000" w:rsidRDefault="00000000" w:rsidRPr="00000000" w14:paraId="0000000A">
      <w:pPr>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TRT World dünyanın en saygın medya ödülleri arasında gösterilen New York Festivals ve Telly Awards’tan toplam 17 ayrı ödülle döndü. TRT böylece uluslararası yayıncılıktaki başarısını bir kez daha tescillemiş oldu.</w:t>
      </w:r>
    </w:p>
    <w:p w:rsidR="00000000" w:rsidDel="00000000" w:rsidP="00000000" w:rsidRDefault="00000000" w:rsidRPr="00000000" w14:paraId="0000000B">
      <w:pPr>
        <w:jc w:val="center"/>
        <w:rPr>
          <w:rFonts w:ascii="Calibri" w:cs="Calibri" w:eastAsia="Calibri" w:hAnsi="Calibri"/>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Fonts w:ascii="Calibri" w:cs="Calibri" w:eastAsia="Calibri" w:hAnsi="Calibri"/>
          <w:rtl w:val="0"/>
        </w:rPr>
        <w:t xml:space="preserve">TRT World, uluslararası arenada önemli başarılara imza atmaya devam ediyor. Dünyanın en prestijli medya ödülleri arasında yer alan New York Festivals’tan 2 altın, 2 gümüş, 1 bronz; Telly Awards’tan ise 2 altın, 7 gümüş, 3 bronz olmak üzere toplam 17 ödülle dönen TRT World, TRT’nin </w:t>
      </w:r>
      <w:r w:rsidDel="00000000" w:rsidR="00000000" w:rsidRPr="00000000">
        <w:rPr>
          <w:rtl w:val="0"/>
        </w:rPr>
        <w:t xml:space="preserve">dijital hikâye anlatıcılığındaki başarısını uluslararası alanda bir kez daha tescilledi.</w:t>
      </w:r>
    </w:p>
    <w:p w:rsidR="00000000" w:rsidDel="00000000" w:rsidP="00000000" w:rsidRDefault="00000000" w:rsidRPr="00000000" w14:paraId="0000000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jc w:val="both"/>
        <w:rPr>
          <w:b w:val="1"/>
          <w:bCs w:val="1"/>
        </w:rPr>
      </w:pPr>
      <w:r w:rsidDel="00000000" w:rsidR="00000000" w:rsidRPr="00000000">
        <w:rPr>
          <w:b w:val="1"/>
          <w:bCs w:val="1"/>
          <w:rtl w:val="0"/>
        </w:rPr>
        <w:t xml:space="preserve">Kreatif içeriklere uluslararası ödüller</w:t>
      </w:r>
    </w:p>
    <w:p w:rsidR="00000000" w:rsidDel="00000000" w:rsidP="00000000" w:rsidRDefault="00000000" w:rsidRPr="00000000" w14:paraId="0000000F">
      <w:pPr>
        <w:jc w:val="both"/>
        <w:rPr>
          <w:rFonts w:ascii="Calibri" w:cs="Calibri" w:eastAsia="Calibri" w:hAnsi="Calibri"/>
          <w:color w:val="000000"/>
        </w:rPr>
      </w:pPr>
      <w:r w:rsidDel="00000000" w:rsidR="00000000" w:rsidRPr="00000000">
        <w:rPr>
          <w:rFonts w:ascii="Calibri" w:cs="Calibri" w:eastAsia="Calibri" w:hAnsi="Calibri"/>
          <w:rtl w:val="0"/>
        </w:rPr>
        <w:t xml:space="preserve">Kurgudan veri görselleştirmeye, sosyal etkiden çevre ve iklime kadar pek çok kategoride ödül alan TRT World, </w:t>
      </w:r>
      <w:r w:rsidDel="00000000" w:rsidR="00000000" w:rsidRPr="00000000">
        <w:rPr>
          <w:rtl w:val="0"/>
        </w:rPr>
        <w:t xml:space="preserve">farklı formatlardaki kreatif içerikleriyle</w:t>
      </w:r>
      <w:r w:rsidDel="00000000" w:rsidR="00000000" w:rsidRPr="00000000">
        <w:rPr>
          <w:rFonts w:ascii="Calibri" w:cs="Calibri" w:eastAsia="Calibri" w:hAnsi="Calibri"/>
          <w:rtl w:val="0"/>
        </w:rPr>
        <w:t xml:space="preserve"> uluslararası alanda önemli bir başarı elde etti.</w:t>
      </w:r>
      <w:r w:rsidDel="00000000" w:rsidR="00000000" w:rsidRPr="00000000">
        <w:rPr>
          <w:rtl w:val="0"/>
        </w:rPr>
      </w:r>
    </w:p>
    <w:p w:rsidR="00000000" w:rsidDel="00000000" w:rsidP="00000000" w:rsidRDefault="00000000" w:rsidRPr="00000000" w14:paraId="00000010">
      <w:pPr>
        <w:jc w:val="both"/>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TRT Genel Müdürü Mehmet Zahid Sobacı, TRT World’ün başarısını sosyal medya hesabından, “TRT World, New York Festivals’te 2 altın, 2 gümüş, 1 bronz; Telly Awards’ta ise 2 altın, 7 gümüş, 3 bronz ödüle layık görüldü. TRT olarak, #TürkiyeYüzyılı vizyonuna yayıncılık cephesinden katkılar sunmaya devam edeceğiz,” ifadeleri ile duyurdu.</w:t>
      </w:r>
    </w:p>
    <w:p w:rsidR="00000000" w:rsidDel="00000000" w:rsidP="00000000" w:rsidRDefault="00000000" w:rsidRPr="00000000" w14:paraId="00000012">
      <w:pPr>
        <w:jc w:val="both"/>
        <w:rPr>
          <w:b w:val="1"/>
          <w:bCs w:val="1"/>
        </w:rPr>
      </w:pPr>
      <w:r w:rsidDel="00000000" w:rsidR="00000000" w:rsidRPr="00000000">
        <w:rPr>
          <w:rFonts w:ascii="Times New Roman" w:cs="Times New Roman" w:eastAsia="Times New Roman" w:hAnsi="Times New Roman"/>
          <w:b w:val="1"/>
          <w:bCs w:val="1"/>
          <w:rtl w:val="0"/>
        </w:rPr>
        <w:br w:type="textWrapping"/>
      </w:r>
      <w:r w:rsidDel="00000000" w:rsidR="00000000" w:rsidRPr="00000000">
        <w:rPr>
          <w:b w:val="1"/>
          <w:bCs w:val="1"/>
          <w:rtl w:val="0"/>
        </w:rPr>
        <w:t xml:space="preserve">Küresel medya sahnesinde güçlü görünürlük</w:t>
      </w:r>
    </w:p>
    <w:p w:rsidR="00000000" w:rsidDel="00000000" w:rsidP="00000000" w:rsidRDefault="00000000" w:rsidRPr="00000000" w14:paraId="00000013">
      <w:pPr>
        <w:jc w:val="both"/>
        <w:rPr/>
      </w:pPr>
      <w:r w:rsidDel="00000000" w:rsidR="00000000" w:rsidRPr="00000000">
        <w:rPr>
          <w:rtl w:val="0"/>
        </w:rPr>
        <w:t xml:space="preserve">Uluslararası medya kuruluşları arasında dikkat çeken bir konuma sahip olan TRT World, tarafsız habercilik anlayışı, kapsamlı analizleri ve insan odaklı hikâye anlatımıyla küresel gündeme ilişkin içerikler üretmeye ve Türkiye ve TRT’nin vizyonunu dünya ile buluşturmaya devam ediyor. Kazanılan ödüller, aynı zamanda TRT World’ün kamuoyunun doğru bilgilendirilmesine ve uluslararası ölçekte farkındalık oluşturulmasına sunduğu katkıyı da ortaya koyuyor.</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sectPr>
      <w:footerReference r:id="rId8" w:type="even"/>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